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87" w:tblpY="383"/>
        <w:tblOverlap w:val="never"/>
        <w:tblW w:w="10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425"/>
        <w:gridCol w:w="699"/>
        <w:gridCol w:w="2551"/>
        <w:gridCol w:w="1003"/>
        <w:gridCol w:w="982"/>
        <w:gridCol w:w="284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466" w:type="dxa"/>
            <w:gridSpan w:val="8"/>
            <w:tcBorders>
              <w:top w:val="nil"/>
              <w:left w:val="nil"/>
              <w:bottom w:val="single" w:color="auto" w:sz="4" w:space="0"/>
              <w:right w:val="nil"/>
            </w:tcBorders>
            <w:vAlign w:val="center"/>
          </w:tcPr>
          <w:p>
            <w:pPr>
              <w:spacing w:line="540" w:lineRule="atLeast"/>
              <w:jc w:val="center"/>
              <w:rPr>
                <w:rFonts w:hint="default" w:ascii="仿宋_GB2312" w:hAnsi="仿宋_GB2312" w:eastAsia="仿宋_GB2312" w:cs="仿宋_GB2312"/>
                <w:sz w:val="36"/>
                <w:szCs w:val="28"/>
              </w:rPr>
            </w:pPr>
            <w:bookmarkStart w:id="0" w:name="_GoBack"/>
            <w:r>
              <w:rPr>
                <w:rFonts w:ascii="仿宋_GB2312" w:hAnsi="仿宋_GB2312" w:eastAsia="仿宋_GB2312" w:cs="仿宋_GB2312"/>
                <w:snapToGrid w:val="0"/>
                <w:color w:val="000000"/>
                <w:kern w:val="0"/>
                <w:sz w:val="36"/>
              </w:rPr>
              <w:t>漳州土地开发服务集团2024年第一批公开招聘岗位一览表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02"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类别</w:t>
            </w:r>
          </w:p>
        </w:tc>
        <w:tc>
          <w:tcPr>
            <w:tcW w:w="425"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人数</w:t>
            </w:r>
          </w:p>
        </w:tc>
        <w:tc>
          <w:tcPr>
            <w:tcW w:w="699"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岗位</w:t>
            </w:r>
          </w:p>
        </w:tc>
        <w:tc>
          <w:tcPr>
            <w:tcW w:w="2551"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专业</w:t>
            </w:r>
          </w:p>
        </w:tc>
        <w:tc>
          <w:tcPr>
            <w:tcW w:w="1003"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学历学位</w:t>
            </w:r>
          </w:p>
        </w:tc>
        <w:tc>
          <w:tcPr>
            <w:tcW w:w="982"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年龄</w:t>
            </w:r>
          </w:p>
        </w:tc>
        <w:tc>
          <w:tcPr>
            <w:tcW w:w="2845"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岗位职责</w:t>
            </w:r>
          </w:p>
        </w:tc>
        <w:tc>
          <w:tcPr>
            <w:tcW w:w="1559" w:type="dxa"/>
            <w:tcBorders>
              <w:top w:val="single" w:color="auto" w:sz="4" w:space="0"/>
            </w:tcBorders>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402" w:type="dxa"/>
            <w:vAlign w:val="center"/>
          </w:tcPr>
          <w:p>
            <w:pPr>
              <w:widowControl/>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管</w:t>
            </w:r>
          </w:p>
          <w:p>
            <w:pPr>
              <w:widowControl/>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理</w:t>
            </w:r>
          </w:p>
          <w:p>
            <w:pPr>
              <w:widowControl/>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岗</w:t>
            </w:r>
          </w:p>
        </w:tc>
        <w:tc>
          <w:tcPr>
            <w:tcW w:w="425" w:type="dxa"/>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1</w:t>
            </w:r>
          </w:p>
        </w:tc>
        <w:tc>
          <w:tcPr>
            <w:tcW w:w="699" w:type="dxa"/>
            <w:vAlign w:val="center"/>
          </w:tcPr>
          <w:p>
            <w:pPr>
              <w:spacing w:line="240" w:lineRule="exact"/>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财务成控部业务主管</w:t>
            </w:r>
          </w:p>
        </w:tc>
        <w:tc>
          <w:tcPr>
            <w:tcW w:w="2551"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会计（学），审计学，财务管理，会计与统计核算，会计与审计，工程财务管理，建筑财务会计，金融学；</w:t>
            </w:r>
          </w:p>
        </w:tc>
        <w:tc>
          <w:tcPr>
            <w:tcW w:w="1003"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本科及以上学历，学士及以上学位；</w:t>
            </w:r>
          </w:p>
        </w:tc>
        <w:tc>
          <w:tcPr>
            <w:tcW w:w="982"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年龄40周岁(含)以下</w:t>
            </w:r>
          </w:p>
        </w:tc>
        <w:tc>
          <w:tcPr>
            <w:tcW w:w="2845"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负责集团财务规划与财务预算管理、会计核算与财务管理、项目成本管控与投资决策支持、集团资金管理及融资工作。具有高级会计师职称或注册会计师证。</w:t>
            </w:r>
          </w:p>
        </w:tc>
        <w:tc>
          <w:tcPr>
            <w:tcW w:w="155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具有10年以上财务工作经验，具有国企财务管理岗工作经验优先；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02" w:type="dxa"/>
            <w:vMerge w:val="restart"/>
            <w:vAlign w:val="center"/>
          </w:tcPr>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专</w:t>
            </w:r>
          </w:p>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业</w:t>
            </w:r>
          </w:p>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技</w:t>
            </w:r>
          </w:p>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术</w:t>
            </w:r>
          </w:p>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岗</w:t>
            </w:r>
          </w:p>
        </w:tc>
        <w:tc>
          <w:tcPr>
            <w:tcW w:w="425" w:type="dxa"/>
            <w:vMerge w:val="restart"/>
            <w:vAlign w:val="center"/>
          </w:tcPr>
          <w:p>
            <w:pPr>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5</w:t>
            </w:r>
          </w:p>
        </w:tc>
        <w:tc>
          <w:tcPr>
            <w:tcW w:w="699" w:type="dxa"/>
            <w:vAlign w:val="center"/>
          </w:tcPr>
          <w:p>
            <w:pPr>
              <w:spacing w:line="240" w:lineRule="exact"/>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土地报批岗</w:t>
            </w:r>
          </w:p>
        </w:tc>
        <w:tc>
          <w:tcPr>
            <w:tcW w:w="2551" w:type="dxa"/>
            <w:vAlign w:val="center"/>
          </w:tcPr>
          <w:p>
            <w:pPr>
              <w:spacing w:line="240" w:lineRule="exact"/>
              <w:rPr>
                <w:rFonts w:hint="eastAsia" w:ascii="仿宋_GB2312" w:hAnsi="仿宋_GB2312" w:eastAsia="仿宋_GB2312" w:cs="仿宋_GB2312"/>
                <w:sz w:val="20"/>
                <w:szCs w:val="20"/>
                <w:lang w:eastAsia="zh-CN"/>
              </w:rPr>
            </w:pPr>
            <w:r>
              <w:rPr>
                <w:rFonts w:ascii="仿宋_GB2312" w:hAnsi="仿宋_GB2312" w:eastAsia="仿宋_GB2312" w:cs="仿宋_GB2312"/>
                <w:sz w:val="20"/>
                <w:szCs w:val="20"/>
              </w:rPr>
              <w:t>城市（乡）规划、城市规划与设计</w:t>
            </w:r>
            <w:r>
              <w:rPr>
                <w:rFonts w:hint="eastAsia" w:ascii="仿宋_GB2312" w:hAnsi="仿宋_GB2312" w:eastAsia="仿宋_GB2312" w:cs="仿宋_GB2312"/>
                <w:sz w:val="20"/>
                <w:szCs w:val="20"/>
                <w:lang w:eastAsia="zh-CN"/>
              </w:rPr>
              <w:t>，</w:t>
            </w:r>
            <w:r>
              <w:rPr>
                <w:rFonts w:ascii="仿宋_GB2312" w:hAnsi="仿宋_GB2312" w:eastAsia="仿宋_GB2312" w:cs="仿宋_GB2312"/>
                <w:sz w:val="20"/>
                <w:szCs w:val="20"/>
              </w:rPr>
              <w:t>土木工程</w:t>
            </w:r>
            <w:r>
              <w:rPr>
                <w:rFonts w:hint="eastAsia" w:ascii="仿宋_GB2312" w:hAnsi="仿宋_GB2312" w:eastAsia="仿宋_GB2312" w:cs="仿宋_GB2312"/>
                <w:sz w:val="20"/>
                <w:szCs w:val="20"/>
                <w:lang w:eastAsia="zh-CN"/>
              </w:rPr>
              <w:t>，</w:t>
            </w:r>
            <w:r>
              <w:rPr>
                <w:rFonts w:ascii="仿宋_GB2312" w:hAnsi="仿宋_GB2312" w:eastAsia="仿宋_GB2312" w:cs="仿宋_GB2312"/>
                <w:sz w:val="20"/>
                <w:szCs w:val="20"/>
              </w:rPr>
              <w:t>建筑(学)</w:t>
            </w:r>
            <w:r>
              <w:rPr>
                <w:rFonts w:hint="eastAsia" w:ascii="仿宋_GB2312" w:hAnsi="仿宋_GB2312" w:eastAsia="仿宋_GB2312" w:cs="仿宋_GB2312"/>
                <w:sz w:val="20"/>
                <w:szCs w:val="20"/>
                <w:lang w:eastAsia="zh-CN"/>
              </w:rPr>
              <w:t>；</w:t>
            </w:r>
          </w:p>
        </w:tc>
        <w:tc>
          <w:tcPr>
            <w:tcW w:w="1003"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本科及以上学历；</w:t>
            </w:r>
          </w:p>
        </w:tc>
        <w:tc>
          <w:tcPr>
            <w:tcW w:w="982"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年龄35周岁(含)以下</w:t>
            </w:r>
          </w:p>
        </w:tc>
        <w:tc>
          <w:tcPr>
            <w:tcW w:w="2845"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负责全程跟踪推进农转征报批组卷及审批工作。辅助完成拟农转征报批土地勘测定界。负责农转征报批费用测算。协助跟踪推进林地、湿地等的报批工作。</w:t>
            </w:r>
          </w:p>
        </w:tc>
        <w:tc>
          <w:tcPr>
            <w:tcW w:w="155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具有3年以上项目管理、用地报批或规划设计岗位工作经验；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02" w:type="dxa"/>
            <w:vMerge w:val="continue"/>
            <w:vAlign w:val="center"/>
          </w:tcPr>
          <w:p>
            <w:pPr>
              <w:rPr>
                <w:rFonts w:hint="default" w:ascii="仿宋_GB2312" w:hAnsi="仿宋_GB2312" w:eastAsia="仿宋_GB2312" w:cs="仿宋_GB2312"/>
                <w:color w:val="000000"/>
                <w:sz w:val="20"/>
                <w:szCs w:val="20"/>
              </w:rPr>
            </w:pPr>
          </w:p>
        </w:tc>
        <w:tc>
          <w:tcPr>
            <w:tcW w:w="425" w:type="dxa"/>
            <w:vMerge w:val="continue"/>
            <w:vAlign w:val="center"/>
          </w:tcPr>
          <w:p>
            <w:pPr>
              <w:jc w:val="center"/>
              <w:rPr>
                <w:rFonts w:hint="default" w:ascii="仿宋_GB2312" w:hAnsi="仿宋_GB2312" w:eastAsia="仿宋_GB2312" w:cs="仿宋_GB2312"/>
                <w:sz w:val="20"/>
                <w:szCs w:val="20"/>
              </w:rPr>
            </w:pPr>
          </w:p>
        </w:tc>
        <w:tc>
          <w:tcPr>
            <w:tcW w:w="699" w:type="dxa"/>
            <w:vAlign w:val="center"/>
          </w:tcPr>
          <w:p>
            <w:pPr>
              <w:spacing w:line="240" w:lineRule="exact"/>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项目管理岗</w:t>
            </w:r>
          </w:p>
        </w:tc>
        <w:tc>
          <w:tcPr>
            <w:tcW w:w="2551"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工程管理</w:t>
            </w:r>
            <w:r>
              <w:rPr>
                <w:rFonts w:hint="eastAsia" w:ascii="仿宋_GB2312" w:hAnsi="仿宋_GB2312" w:eastAsia="仿宋_GB2312" w:cs="仿宋_GB2312"/>
                <w:sz w:val="20"/>
                <w:szCs w:val="20"/>
                <w:lang w:eastAsia="zh-CN"/>
              </w:rPr>
              <w:t>，</w:t>
            </w:r>
            <w:r>
              <w:rPr>
                <w:rFonts w:ascii="仿宋_GB2312" w:hAnsi="仿宋_GB2312" w:eastAsia="仿宋_GB2312" w:cs="仿宋_GB2312"/>
                <w:sz w:val="20"/>
                <w:szCs w:val="20"/>
              </w:rPr>
              <w:t>项目管理；</w:t>
            </w:r>
          </w:p>
        </w:tc>
        <w:tc>
          <w:tcPr>
            <w:tcW w:w="1003"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本科及以上学历；</w:t>
            </w:r>
          </w:p>
        </w:tc>
        <w:tc>
          <w:tcPr>
            <w:tcW w:w="982"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年龄35周岁(含)以下</w:t>
            </w:r>
          </w:p>
        </w:tc>
        <w:tc>
          <w:tcPr>
            <w:tcW w:w="2845"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负责现有项目前期管理、报批报建、工程项目建设管理等工作。</w:t>
            </w:r>
          </w:p>
        </w:tc>
        <w:tc>
          <w:tcPr>
            <w:tcW w:w="155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具有3年以上工程项目管理或工程项目建设工作经验；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02" w:type="dxa"/>
            <w:vMerge w:val="continue"/>
            <w:vAlign w:val="center"/>
          </w:tcPr>
          <w:p>
            <w:pPr>
              <w:rPr>
                <w:rFonts w:hint="default" w:ascii="仿宋_GB2312" w:hAnsi="仿宋_GB2312" w:eastAsia="仿宋_GB2312" w:cs="仿宋_GB2312"/>
                <w:color w:val="000000"/>
                <w:sz w:val="20"/>
                <w:szCs w:val="20"/>
              </w:rPr>
            </w:pPr>
          </w:p>
        </w:tc>
        <w:tc>
          <w:tcPr>
            <w:tcW w:w="425" w:type="dxa"/>
            <w:vMerge w:val="continue"/>
            <w:vAlign w:val="center"/>
          </w:tcPr>
          <w:p>
            <w:pPr>
              <w:jc w:val="center"/>
              <w:rPr>
                <w:rFonts w:hint="default" w:ascii="仿宋_GB2312" w:hAnsi="仿宋_GB2312" w:eastAsia="仿宋_GB2312" w:cs="仿宋_GB2312"/>
                <w:sz w:val="20"/>
                <w:szCs w:val="20"/>
              </w:rPr>
            </w:pPr>
          </w:p>
        </w:tc>
        <w:tc>
          <w:tcPr>
            <w:tcW w:w="699" w:type="dxa"/>
            <w:vAlign w:val="center"/>
          </w:tcPr>
          <w:p>
            <w:pPr>
              <w:spacing w:line="240" w:lineRule="exact"/>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土地开发岗</w:t>
            </w:r>
          </w:p>
        </w:tc>
        <w:tc>
          <w:tcPr>
            <w:tcW w:w="2551"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资源环境与城乡规划管理，人文地理与城乡规划，国土空间规划与测绘，国土测绘与规划，地理信息系统，测绘与地理信息技术，测绘地理信息技术；</w:t>
            </w:r>
          </w:p>
        </w:tc>
        <w:tc>
          <w:tcPr>
            <w:tcW w:w="1003"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本科及以上学历；</w:t>
            </w:r>
          </w:p>
        </w:tc>
        <w:tc>
          <w:tcPr>
            <w:tcW w:w="982"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年龄35周岁(含)以下</w:t>
            </w:r>
          </w:p>
        </w:tc>
        <w:tc>
          <w:tcPr>
            <w:tcW w:w="2845"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负责研究低效用地再开发专项规划、实施路径；负责研究土地</w:t>
            </w:r>
            <w:r>
              <w:rPr>
                <w:rFonts w:hint="eastAsia" w:ascii="仿宋_GB2312" w:hAnsi="仿宋_GB2312" w:eastAsia="仿宋_GB2312" w:cs="仿宋_GB2312"/>
                <w:sz w:val="20"/>
                <w:szCs w:val="20"/>
                <w:lang w:val="en-US" w:eastAsia="zh-CN"/>
              </w:rPr>
              <w:t>收</w:t>
            </w:r>
            <w:r>
              <w:rPr>
                <w:rFonts w:ascii="仿宋_GB2312" w:hAnsi="仿宋_GB2312" w:eastAsia="仿宋_GB2312" w:cs="仿宋_GB2312"/>
                <w:sz w:val="20"/>
                <w:szCs w:val="20"/>
              </w:rPr>
              <w:t>储相关机制；负责研究低效用地再开发相关政策。</w:t>
            </w:r>
          </w:p>
        </w:tc>
        <w:tc>
          <w:tcPr>
            <w:tcW w:w="155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具有3年以上用地开发建设、规划设计或测绘工作经验；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02" w:type="dxa"/>
            <w:vMerge w:val="continue"/>
            <w:vAlign w:val="center"/>
          </w:tcPr>
          <w:p>
            <w:pPr>
              <w:rPr>
                <w:rFonts w:hint="default" w:ascii="仿宋_GB2312" w:hAnsi="仿宋_GB2312" w:eastAsia="仿宋_GB2312" w:cs="仿宋_GB2312"/>
                <w:color w:val="000000"/>
                <w:sz w:val="20"/>
                <w:szCs w:val="20"/>
              </w:rPr>
            </w:pPr>
          </w:p>
        </w:tc>
        <w:tc>
          <w:tcPr>
            <w:tcW w:w="425" w:type="dxa"/>
            <w:vMerge w:val="continue"/>
            <w:vAlign w:val="center"/>
          </w:tcPr>
          <w:p>
            <w:pPr>
              <w:jc w:val="center"/>
              <w:rPr>
                <w:rFonts w:hint="default" w:ascii="仿宋_GB2312" w:hAnsi="仿宋_GB2312" w:eastAsia="仿宋_GB2312" w:cs="仿宋_GB2312"/>
                <w:sz w:val="20"/>
                <w:szCs w:val="20"/>
              </w:rPr>
            </w:pPr>
          </w:p>
        </w:tc>
        <w:tc>
          <w:tcPr>
            <w:tcW w:w="699" w:type="dxa"/>
            <w:vAlign w:val="center"/>
          </w:tcPr>
          <w:p>
            <w:pPr>
              <w:spacing w:line="240" w:lineRule="exact"/>
              <w:jc w:val="center"/>
              <w:rPr>
                <w:rFonts w:hint="default" w:ascii="仿宋_GB2312" w:hAnsi="仿宋_GB2312" w:eastAsia="仿宋_GB2312" w:cs="仿宋_GB2312"/>
                <w:sz w:val="20"/>
                <w:szCs w:val="20"/>
              </w:rPr>
            </w:pPr>
            <w:r>
              <w:rPr>
                <w:rFonts w:ascii="仿宋_GB2312" w:hAnsi="仿宋_GB2312" w:eastAsia="仿宋_GB2312" w:cs="仿宋_GB2312"/>
                <w:sz w:val="20"/>
                <w:szCs w:val="20"/>
              </w:rPr>
              <w:t>运营专员岗</w:t>
            </w:r>
          </w:p>
        </w:tc>
        <w:tc>
          <w:tcPr>
            <w:tcW w:w="2551"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房地产经营与管理，房地产开发与管理，市场营销，商务策划管理，商务管理；</w:t>
            </w:r>
          </w:p>
        </w:tc>
        <w:tc>
          <w:tcPr>
            <w:tcW w:w="1003"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本科及以上学历；</w:t>
            </w:r>
          </w:p>
        </w:tc>
        <w:tc>
          <w:tcPr>
            <w:tcW w:w="982"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年龄35周岁(含)以下</w:t>
            </w:r>
          </w:p>
        </w:tc>
        <w:tc>
          <w:tcPr>
            <w:tcW w:w="2845"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负责商业地产项目运营工作。</w:t>
            </w:r>
          </w:p>
        </w:tc>
        <w:tc>
          <w:tcPr>
            <w:tcW w:w="155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具有3年以上商业地产项目运营工作经验；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 w:type="dxa"/>
            <w:vMerge w:val="continue"/>
            <w:vAlign w:val="center"/>
          </w:tcPr>
          <w:p>
            <w:pPr>
              <w:rPr>
                <w:rFonts w:hint="default" w:ascii="仿宋_GB2312" w:hAnsi="仿宋_GB2312" w:eastAsia="仿宋_GB2312" w:cs="仿宋_GB2312"/>
                <w:color w:val="000000"/>
                <w:sz w:val="20"/>
                <w:szCs w:val="20"/>
              </w:rPr>
            </w:pPr>
          </w:p>
        </w:tc>
        <w:tc>
          <w:tcPr>
            <w:tcW w:w="425" w:type="dxa"/>
            <w:vMerge w:val="continue"/>
            <w:vAlign w:val="center"/>
          </w:tcPr>
          <w:p>
            <w:pPr>
              <w:jc w:val="center"/>
              <w:rPr>
                <w:rFonts w:hint="default" w:ascii="仿宋_GB2312" w:hAnsi="仿宋_GB2312" w:eastAsia="仿宋_GB2312" w:cs="仿宋_GB2312"/>
                <w:sz w:val="20"/>
                <w:szCs w:val="20"/>
              </w:rPr>
            </w:pPr>
          </w:p>
        </w:tc>
        <w:tc>
          <w:tcPr>
            <w:tcW w:w="69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成控岗</w:t>
            </w:r>
          </w:p>
        </w:tc>
        <w:tc>
          <w:tcPr>
            <w:tcW w:w="2551"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工程造价，工程造价管理，工程管理，金融工程，土木工程；</w:t>
            </w:r>
          </w:p>
        </w:tc>
        <w:tc>
          <w:tcPr>
            <w:tcW w:w="1003"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本科及以上学历；</w:t>
            </w:r>
          </w:p>
        </w:tc>
        <w:tc>
          <w:tcPr>
            <w:tcW w:w="982"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年龄35周岁(含)以下</w:t>
            </w:r>
          </w:p>
        </w:tc>
        <w:tc>
          <w:tcPr>
            <w:tcW w:w="2845"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负责收储用地的征收成本结算，提出限额设计建议及各阶段成本控制建议。负责集团投资项目的财务可行性分析或对委外项目的财务可行性分析校核等工作。需要下工地。</w:t>
            </w:r>
          </w:p>
        </w:tc>
        <w:tc>
          <w:tcPr>
            <w:tcW w:w="1559" w:type="dxa"/>
            <w:vAlign w:val="center"/>
          </w:tcPr>
          <w:p>
            <w:pPr>
              <w:spacing w:line="240" w:lineRule="exact"/>
              <w:rPr>
                <w:rFonts w:hint="default" w:ascii="仿宋_GB2312" w:hAnsi="仿宋_GB2312" w:eastAsia="仿宋_GB2312" w:cs="仿宋_GB2312"/>
                <w:sz w:val="20"/>
                <w:szCs w:val="20"/>
              </w:rPr>
            </w:pPr>
            <w:r>
              <w:rPr>
                <w:rFonts w:ascii="仿宋_GB2312" w:hAnsi="仿宋_GB2312" w:eastAsia="仿宋_GB2312" w:cs="仿宋_GB2312"/>
                <w:sz w:val="20"/>
                <w:szCs w:val="20"/>
              </w:rPr>
              <w:t>具有3年以上成控岗工作经验；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02" w:type="dxa"/>
            <w:vMerge w:val="restart"/>
            <w:vAlign w:val="center"/>
          </w:tcPr>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综</w:t>
            </w:r>
          </w:p>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合</w:t>
            </w:r>
          </w:p>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岗</w:t>
            </w:r>
          </w:p>
        </w:tc>
        <w:tc>
          <w:tcPr>
            <w:tcW w:w="425" w:type="dxa"/>
            <w:vMerge w:val="restart"/>
            <w:vAlign w:val="center"/>
          </w:tcPr>
          <w:p>
            <w:pPr>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2</w:t>
            </w:r>
          </w:p>
        </w:tc>
        <w:tc>
          <w:tcPr>
            <w:tcW w:w="699" w:type="dxa"/>
            <w:vAlign w:val="center"/>
          </w:tcPr>
          <w:p>
            <w:pPr>
              <w:widowControl/>
              <w:spacing w:line="240" w:lineRule="exact"/>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审计岗</w:t>
            </w:r>
          </w:p>
        </w:tc>
        <w:tc>
          <w:tcPr>
            <w:tcW w:w="2551"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审计学，审计（实务），会计与审计，审计实务，建设投资与审计，大数据与审计，审计；</w:t>
            </w:r>
          </w:p>
        </w:tc>
        <w:tc>
          <w:tcPr>
            <w:tcW w:w="1003"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本科及以上学历，学士及以上学位；</w:t>
            </w:r>
          </w:p>
        </w:tc>
        <w:tc>
          <w:tcPr>
            <w:tcW w:w="982"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年龄35周岁(含)以下</w:t>
            </w:r>
          </w:p>
        </w:tc>
        <w:tc>
          <w:tcPr>
            <w:tcW w:w="2845"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负责集团常规审计工作，协助制定审计工作计划和审计方案，确保审计工作有序开展。</w:t>
            </w:r>
          </w:p>
        </w:tc>
        <w:tc>
          <w:tcPr>
            <w:tcW w:w="1559" w:type="dxa"/>
            <w:vAlign w:val="center"/>
          </w:tcPr>
          <w:p>
            <w:pPr>
              <w:spacing w:line="240" w:lineRule="exact"/>
              <w:rPr>
                <w:rFonts w:hint="default" w:ascii="仿宋_GB2312" w:hAnsi="仿宋_GB2312" w:eastAsia="仿宋_GB2312" w:cs="仿宋_GB2312"/>
                <w:b/>
                <w:color w:val="000000"/>
                <w:sz w:val="20"/>
                <w:szCs w:val="20"/>
              </w:rPr>
            </w:pPr>
            <w:r>
              <w:rPr>
                <w:rFonts w:ascii="仿宋_GB2312" w:hAnsi="仿宋_GB2312" w:eastAsia="仿宋_GB2312" w:cs="仿宋_GB2312"/>
                <w:sz w:val="20"/>
                <w:szCs w:val="2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02" w:type="dxa"/>
            <w:vMerge w:val="continue"/>
            <w:vAlign w:val="center"/>
          </w:tcPr>
          <w:p>
            <w:pPr>
              <w:rPr>
                <w:rFonts w:hint="default" w:ascii="仿宋_GB2312" w:hAnsi="仿宋_GB2312" w:eastAsia="仿宋_GB2312" w:cs="仿宋_GB2312"/>
                <w:color w:val="000000"/>
                <w:sz w:val="20"/>
                <w:szCs w:val="20"/>
              </w:rPr>
            </w:pPr>
          </w:p>
        </w:tc>
        <w:tc>
          <w:tcPr>
            <w:tcW w:w="425" w:type="dxa"/>
            <w:vMerge w:val="continue"/>
            <w:vAlign w:val="center"/>
          </w:tcPr>
          <w:p>
            <w:pPr>
              <w:rPr>
                <w:rFonts w:hint="default" w:ascii="仿宋_GB2312" w:hAnsi="仿宋_GB2312" w:eastAsia="仿宋_GB2312" w:cs="仿宋_GB2312"/>
                <w:color w:val="000000"/>
                <w:sz w:val="20"/>
                <w:szCs w:val="20"/>
              </w:rPr>
            </w:pPr>
          </w:p>
        </w:tc>
        <w:tc>
          <w:tcPr>
            <w:tcW w:w="699" w:type="dxa"/>
            <w:vAlign w:val="center"/>
          </w:tcPr>
          <w:p>
            <w:pPr>
              <w:spacing w:line="240" w:lineRule="exact"/>
              <w:jc w:val="center"/>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品牌宣传岗</w:t>
            </w:r>
          </w:p>
        </w:tc>
        <w:tc>
          <w:tcPr>
            <w:tcW w:w="2551"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新闻（学），广播电视新闻学，广告学，新媒体与信息网络，传媒策划与管理；</w:t>
            </w:r>
          </w:p>
        </w:tc>
        <w:tc>
          <w:tcPr>
            <w:tcW w:w="1003"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本科及以上学历，学士及以上学位；</w:t>
            </w:r>
          </w:p>
        </w:tc>
        <w:tc>
          <w:tcPr>
            <w:tcW w:w="982"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color w:val="000000"/>
                <w:sz w:val="20"/>
                <w:szCs w:val="20"/>
              </w:rPr>
              <w:t>年龄35周岁(含)以下</w:t>
            </w:r>
          </w:p>
        </w:tc>
        <w:tc>
          <w:tcPr>
            <w:tcW w:w="2845"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sz w:val="20"/>
                <w:szCs w:val="20"/>
              </w:rPr>
              <w:t>负责集团公众号运营及品牌推广相关事项，协助综合部其他日常工作事项。</w:t>
            </w:r>
          </w:p>
        </w:tc>
        <w:tc>
          <w:tcPr>
            <w:tcW w:w="1559" w:type="dxa"/>
            <w:vAlign w:val="center"/>
          </w:tcPr>
          <w:p>
            <w:pPr>
              <w:spacing w:line="240" w:lineRule="exact"/>
              <w:rPr>
                <w:rFonts w:hint="default" w:ascii="仿宋_GB2312" w:hAnsi="仿宋_GB2312" w:eastAsia="仿宋_GB2312" w:cs="仿宋_GB2312"/>
                <w:color w:val="000000"/>
                <w:sz w:val="20"/>
                <w:szCs w:val="20"/>
              </w:rPr>
            </w:pPr>
            <w:r>
              <w:rPr>
                <w:rFonts w:ascii="仿宋_GB2312" w:hAnsi="仿宋_GB2312" w:eastAsia="仿宋_GB2312" w:cs="仿宋_GB2312"/>
                <w:sz w:val="20"/>
                <w:szCs w:val="20"/>
              </w:rPr>
              <w:t>不限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TU2YTlhOWI4YTJhZjhmMDkyZGJkYTYzMzQ3ZWYifQ=="/>
  </w:docVars>
  <w:rsids>
    <w:rsidRoot w:val="714C6989"/>
    <w:rsid w:val="271B4EC5"/>
    <w:rsid w:val="714C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2024-05-13T02:32:00Z</dcterms:created>
  <dc:creator>Caring</dc:creator>
  <cp:lastModifiedBy>Caring</cp:lastModifiedBy>
  <dcterms:modified xsi:type="dcterms:W3CDTF">2024-05-13T07:26:11Z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97B70BA4FAB9493FBA1835D2C18F00D2_11</vt:lpwstr>
  </property>
</Properties>
</file>